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42" w:rsidRDefault="00A24542"/>
    <w:tbl>
      <w:tblPr>
        <w:tblW w:w="1033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"/>
        <w:gridCol w:w="1129"/>
        <w:gridCol w:w="488"/>
        <w:gridCol w:w="271"/>
        <w:gridCol w:w="604"/>
        <w:gridCol w:w="334"/>
        <w:gridCol w:w="271"/>
        <w:gridCol w:w="604"/>
        <w:gridCol w:w="334"/>
        <w:gridCol w:w="301"/>
        <w:gridCol w:w="651"/>
        <w:gridCol w:w="596"/>
        <w:gridCol w:w="40"/>
        <w:gridCol w:w="304"/>
        <w:gridCol w:w="436"/>
        <w:gridCol w:w="239"/>
        <w:gridCol w:w="383"/>
        <w:gridCol w:w="131"/>
        <w:gridCol w:w="472"/>
        <w:gridCol w:w="436"/>
        <w:gridCol w:w="129"/>
        <w:gridCol w:w="39"/>
        <w:gridCol w:w="683"/>
        <w:gridCol w:w="682"/>
        <w:gridCol w:w="128"/>
        <w:gridCol w:w="365"/>
      </w:tblGrid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 for academic year: 2021/2022</w:t>
            </w:r>
          </w:p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Training cycle: 2016/2022</w:t>
            </w:r>
          </w:p>
        </w:tc>
      </w:tr>
      <w:tr w:rsidR="00A24542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</w:tr>
      <w:tr w:rsidR="00A24542" w:rsidRPr="00397337" w:rsidTr="00397337"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498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  <w:p w:rsidR="00A24542" w:rsidRDefault="002A1044">
            <w:pPr>
              <w:spacing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Internal diseases -angiology (3)</w:t>
            </w:r>
          </w:p>
          <w:p w:rsidR="00A24542" w:rsidRDefault="00A24542">
            <w:pPr>
              <w:spacing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Pa3"/>
              <w:spacing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Group of detailed education results</w:t>
            </w:r>
          </w:p>
        </w:tc>
      </w:tr>
      <w:tr w:rsidR="00A24542" w:rsidRPr="00397337" w:rsidTr="00397337">
        <w:tc>
          <w:tcPr>
            <w:tcW w:w="19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985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/>
                <w:sz w:val="21"/>
                <w:szCs w:val="21"/>
                <w:lang w:val="en-US"/>
              </w:rPr>
              <w:t>Group code</w:t>
            </w:r>
          </w:p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E</w:t>
            </w:r>
          </w:p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1"/>
                <w:szCs w:val="21"/>
                <w:lang w:val="en-US"/>
              </w:rPr>
            </w:pPr>
            <w:r>
              <w:rPr>
                <w:rFonts w:ascii="Calibri Light" w:hAnsi="Calibri Light"/>
                <w:sz w:val="21"/>
                <w:szCs w:val="21"/>
                <w:lang w:val="en-US"/>
              </w:rPr>
              <w:t>Group name</w:t>
            </w:r>
          </w:p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 w:cstheme="minorHAnsi"/>
                <w:sz w:val="20"/>
                <w:szCs w:val="20"/>
                <w:lang w:val="en-US"/>
              </w:rPr>
            </w:pPr>
            <w:r>
              <w:rPr>
                <w:rFonts w:ascii="Calibri Light" w:hAnsi="Calibri Light" w:cstheme="minorHAnsi"/>
                <w:sz w:val="20"/>
                <w:szCs w:val="20"/>
                <w:lang w:val="en-US" w:eastAsia="pl-PL"/>
              </w:rPr>
              <w:t>Noninterventional clinical sciences</w:t>
            </w:r>
          </w:p>
        </w:tc>
      </w:tr>
      <w:tr w:rsidR="00A24542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Faculty of Medicine</w:t>
            </w:r>
          </w:p>
        </w:tc>
      </w:tr>
      <w:tr w:rsidR="00A24542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A24542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 uniform magister studies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1</w:t>
            </w:r>
            <w:r>
              <w:rPr>
                <w:rFonts w:ascii="Calibri Light" w:hAnsi="Calibri Light"/>
                <w:vertAlign w:val="superscript"/>
                <w:lang w:val="en-US"/>
              </w:rPr>
              <w:t>st</w:t>
            </w:r>
            <w:r>
              <w:rPr>
                <w:rFonts w:ascii="Calibri Light" w:hAnsi="Calibri Light"/>
                <w:lang w:val="en-US"/>
              </w:rPr>
              <w:t xml:space="preserve"> degree studies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2</w:t>
            </w:r>
            <w:r>
              <w:rPr>
                <w:rFonts w:ascii="Calibri Light" w:hAnsi="Calibri Light"/>
                <w:vertAlign w:val="superscript"/>
                <w:lang w:val="en-US"/>
              </w:rPr>
              <w:t>nd</w:t>
            </w:r>
            <w:r>
              <w:rPr>
                <w:rFonts w:ascii="Calibri Light" w:hAnsi="Calibri Light"/>
                <w:lang w:val="en-US"/>
              </w:rPr>
              <w:t xml:space="preserve"> degree studies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3</w:t>
            </w:r>
            <w:r>
              <w:rPr>
                <w:rFonts w:ascii="Calibri Light" w:hAnsi="Calibri Light"/>
                <w:vertAlign w:val="superscript"/>
                <w:lang w:val="en-US"/>
              </w:rPr>
              <w:t>rd</w:t>
            </w:r>
            <w:r>
              <w:rPr>
                <w:rFonts w:ascii="Calibri Light" w:hAnsi="Calibri Light"/>
                <w:lang w:val="en-US"/>
              </w:rPr>
              <w:t xml:space="preserve"> degree studies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postgraduate studies</w:t>
            </w:r>
          </w:p>
        </w:tc>
      </w:tr>
      <w:tr w:rsidR="00A24542" w:rsidRPr="00397337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X </w:t>
            </w:r>
            <w:proofErr w:type="spellStart"/>
            <w:r>
              <w:rPr>
                <w:rFonts w:ascii="Calibri Light" w:hAnsi="Calibri Light"/>
                <w:lang w:val="en-US"/>
              </w:rPr>
              <w:t>full-time</w:t>
            </w: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part-time</w:t>
            </w:r>
            <w:proofErr w:type="spellEnd"/>
          </w:p>
        </w:tc>
      </w:tr>
      <w:tr w:rsidR="00A24542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Year of studies</w:t>
            </w:r>
          </w:p>
        </w:tc>
        <w:tc>
          <w:tcPr>
            <w:tcW w:w="39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  <w:tc>
          <w:tcPr>
            <w:tcW w:w="1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Semester:</w:t>
            </w:r>
          </w:p>
        </w:tc>
        <w:tc>
          <w:tcPr>
            <w:tcW w:w="29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 winter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 summer</w:t>
            </w:r>
          </w:p>
        </w:tc>
      </w:tr>
      <w:tr w:rsidR="00A24542" w:rsidRPr="00397337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 obligatory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limited choice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free choice / optional</w:t>
            </w:r>
          </w:p>
        </w:tc>
      </w:tr>
      <w:tr w:rsidR="00A24542" w:rsidTr="00397337"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Language of study</w:t>
            </w:r>
          </w:p>
        </w:tc>
        <w:tc>
          <w:tcPr>
            <w:tcW w:w="84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</w:t>
            </w:r>
            <w:r>
              <w:rPr>
                <w:rFonts w:ascii="Calibri Light" w:hAnsi="Calibri Light"/>
                <w:lang w:val="en-US"/>
              </w:rPr>
              <w:t>Polish      X English</w:t>
            </w:r>
          </w:p>
        </w:tc>
      </w:tr>
      <w:tr w:rsidR="00A24542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A24542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A24542" w:rsidTr="00397337">
        <w:trPr>
          <w:trHeight w:val="3047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Lectures (L)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Seminars(SE)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Auditorium classes (AC)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Major Classes – not clinical (MC)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Clinical Classes (CC)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Laboratory Classes (LC)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 (CSC)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Practical Classes with Patient (PCP)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Foreign language Course (FLC)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Physical Education (PE)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Vocational Practice (VP)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Directed Self-Study (DSS)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24542" w:rsidRDefault="002A1044">
            <w:pPr>
              <w:spacing w:after="0" w:line="240" w:lineRule="auto"/>
              <w:ind w:left="113" w:right="113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E-learning (EL)</w:t>
            </w:r>
          </w:p>
        </w:tc>
      </w:tr>
      <w:tr w:rsidR="00A24542" w:rsidTr="00397337">
        <w:trPr>
          <w:trHeight w:hRule="exact" w:val="425"/>
        </w:trPr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Winter semester:</w:t>
            </w:r>
          </w:p>
        </w:tc>
      </w:tr>
      <w:tr w:rsidR="00A24542" w:rsidRPr="00397337" w:rsidTr="00397337">
        <w:trPr>
          <w:trHeight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Style w:val="markedcontent"/>
                <w:rFonts w:ascii="Calibri Light" w:hAnsi="Calibri Light" w:cs="Arial"/>
                <w:sz w:val="20"/>
                <w:szCs w:val="20"/>
                <w:lang w:val="en-US"/>
              </w:rPr>
              <w:t>Department of Angiology, Hypertension and Diabetology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hRule="exact"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Direct (contact) education</w:t>
            </w:r>
            <w:r>
              <w:rPr>
                <w:rStyle w:val="Zakotwiczenieprzypisudolnego"/>
                <w:rFonts w:ascii="Calibri Light" w:hAnsi="Calibri Light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hRule="exact"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Distance learning</w:t>
            </w:r>
            <w:r>
              <w:rPr>
                <w:rStyle w:val="Zakotwiczenieprzypisudolnego"/>
                <w:rFonts w:ascii="Calibri Light" w:hAnsi="Calibri Light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hRule="exact" w:val="425"/>
        </w:trPr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Summer semester:</w:t>
            </w:r>
          </w:p>
        </w:tc>
      </w:tr>
      <w:tr w:rsidR="00A24542" w:rsidRPr="00397337" w:rsidTr="00397337">
        <w:trPr>
          <w:trHeight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Style w:val="markedcontent"/>
                <w:rFonts w:ascii="Calibri Light" w:hAnsi="Calibri Light" w:cs="Arial"/>
                <w:sz w:val="20"/>
                <w:szCs w:val="20"/>
                <w:lang w:val="en-US"/>
              </w:rPr>
              <w:lastRenderedPageBreak/>
              <w:t>Department of Angiology, Hypertension and Diabetology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hRule="exact"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Direct (contact)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hRule="exact"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Distance learning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425"/>
        </w:trPr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A24542" w:rsidRPr="00397337" w:rsidTr="00397337"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Style w:val="markedcontent"/>
                <w:rFonts w:ascii="Calibri Light" w:hAnsi="Calibri Light" w:cs="Arial"/>
                <w:sz w:val="20"/>
                <w:szCs w:val="20"/>
                <w:lang w:val="en-US"/>
              </w:rPr>
              <w:t>Department of Angiology, Hypertension and Diabetology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Direct (contact) education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Cs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Cs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A24542" w:rsidTr="00397337">
        <w:trPr>
          <w:trHeight w:val="425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Distance learning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 xml:space="preserve">Educational objectives  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(max. 6 items)</w:t>
            </w:r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>C1. Acquiring knowledge about etiopathogenesis, symptomatology, principles of diagnostics and treatment of vascular diseases.</w:t>
            </w:r>
            <w:r w:rsidRPr="00397337">
              <w:rPr>
                <w:rFonts w:ascii="Calibri Light" w:hAnsi="Calibri Light" w:cs="Calibri"/>
                <w:sz w:val="20"/>
                <w:szCs w:val="20"/>
                <w:lang w:val="en-US"/>
              </w:rPr>
              <w:br/>
            </w: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 xml:space="preserve">C2. 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>Knowledge of preventive measures against cardiovascular diseases.</w:t>
            </w:r>
          </w:p>
          <w:p w:rsidR="00A24542" w:rsidRPr="00397337" w:rsidRDefault="002A1044">
            <w:pPr>
              <w:pStyle w:val="Bezodstpw"/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 xml:space="preserve">C3. 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 xml:space="preserve">Student should get skills of history taking, the accurate physical examination with proper interpretation of </w:t>
            </w: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>abnormalities found in medical examination in vascular diseases.</w:t>
            </w:r>
            <w:r w:rsidRPr="00397337">
              <w:rPr>
                <w:rFonts w:ascii="Calibri Light" w:hAnsi="Calibri Light" w:cs="Calibri"/>
                <w:sz w:val="20"/>
                <w:szCs w:val="20"/>
                <w:lang w:val="en-US"/>
              </w:rPr>
              <w:br/>
            </w: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 xml:space="preserve">C4. Acquiring the ability to interpret the results of basic laboratory and diagnostic tests, especially the imaging tests 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 xml:space="preserve">and the interpretation of disclosed abnormalities in </w:t>
            </w: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>vascular diseases .</w:t>
            </w:r>
          </w:p>
          <w:p w:rsidR="00A24542" w:rsidRPr="00397337" w:rsidRDefault="002A1044">
            <w:pPr>
              <w:spacing w:after="0" w:line="240" w:lineRule="auto"/>
              <w:rPr>
                <w:rStyle w:val="tlid-translation"/>
                <w:rFonts w:ascii="Calibri Light" w:hAnsi="Calibri Light" w:cstheme="minorHAnsi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 w:cs="Calibri"/>
                <w:sz w:val="20"/>
                <w:szCs w:val="20"/>
                <w:lang w:val="en-US"/>
              </w:rPr>
              <w:t>C5. Acquiring the ability to perform differential diagnosis in diseases of the vascular system. Keeping medical records.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color w:val="FF0000"/>
                <w:lang w:val="en-US"/>
              </w:rPr>
            </w:pPr>
            <w:r>
              <w:rPr>
                <w:rStyle w:val="tlid-translation"/>
                <w:rFonts w:ascii="Calibri Light" w:hAnsi="Calibri Light" w:cstheme="minorHAnsi"/>
                <w:sz w:val="20"/>
                <w:szCs w:val="20"/>
                <w:lang w:val="en-US"/>
              </w:rPr>
              <w:t xml:space="preserve">C6. </w:t>
            </w:r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>Development of social competences needed to practice the medical profession, in accordance with graduate’s profile.</w:t>
            </w: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Education result for course in relation to verification methods of the intended education result and the type of class: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Number of detailed education result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course knows/is able to</w:t>
            </w:r>
          </w:p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Methods of verification of intended education results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</w:pPr>
            <w:r>
              <w:rPr>
                <w:rFonts w:ascii="Calibri Light" w:hAnsi="Calibri Light"/>
                <w:sz w:val="18"/>
                <w:szCs w:val="18"/>
                <w:lang w:val="en-US"/>
              </w:rPr>
              <w:t>Form of didactic classes</w:t>
            </w:r>
          </w:p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E.W1.</w:t>
            </w:r>
          </w:p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Pr="00397337" w:rsidRDefault="002A1044">
            <w:pPr>
              <w:pStyle w:val="Bezodstpw"/>
              <w:rPr>
                <w:rFonts w:cstheme="minorHAnsi"/>
                <w:b/>
                <w:lang w:val="en-US"/>
              </w:rPr>
            </w:pPr>
            <w:r w:rsidRPr="00397337">
              <w:rPr>
                <w:rFonts w:ascii="Calibri Light" w:hAnsi="Calibri Light" w:cstheme="minorHAnsi"/>
                <w:b/>
                <w:sz w:val="20"/>
                <w:szCs w:val="20"/>
                <w:lang w:val="en-US"/>
              </w:rPr>
              <w:t>In terms of knowledge the student knows and understands:</w:t>
            </w:r>
          </w:p>
          <w:p w:rsidR="00A24542" w:rsidRPr="00397337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the environmental and epidemiological determinants of the angiology diseases;</w:t>
            </w:r>
          </w:p>
          <w:p w:rsidR="00A24542" w:rsidRDefault="00A24542">
            <w:pPr>
              <w:pStyle w:val="Bezodstpw"/>
              <w:rPr>
                <w:rFonts w:ascii="Calibri Light" w:hAnsi="Calibri Light" w:cstheme="minorHAnsi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</w:pP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oral</w:t>
            </w:r>
            <w:proofErr w:type="spellEnd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answer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br/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E.W7.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Pr="00397337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the causes, symptoms, principles of diagnosis and therapeutic management of the most common </w:t>
            </w:r>
            <w:proofErr w:type="spellStart"/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angiological</w:t>
            </w:r>
            <w:proofErr w:type="spellEnd"/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 diseases and their complications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oral</w:t>
            </w:r>
            <w:proofErr w:type="spellEnd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E.U1.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cstheme="minorHAnsi"/>
                <w:b/>
                <w:lang w:val="en-US"/>
              </w:rPr>
            </w:pPr>
            <w:r>
              <w:rPr>
                <w:rFonts w:ascii="Calibri Light" w:hAnsi="Calibri Light" w:cstheme="minorHAnsi"/>
                <w:b/>
                <w:sz w:val="20"/>
                <w:szCs w:val="20"/>
                <w:lang w:val="en-US"/>
              </w:rPr>
              <w:t>In terms of skills the student is able to:</w:t>
            </w:r>
          </w:p>
          <w:p w:rsidR="00A24542" w:rsidRPr="00397337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conduct anamnesis with the patient with vascular diseases. 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E.U3.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conduct a complete and focused physical examination of an adult patient with vascular diseases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E.U12.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cstheme="minorHAnsi"/>
                <w:lang w:val="en-US"/>
              </w:rPr>
            </w:pPr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perform differential diagnosis of the most common </w:t>
            </w:r>
            <w:proofErr w:type="spellStart"/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>angiological</w:t>
            </w:r>
            <w:proofErr w:type="spellEnd"/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 diseases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oral</w:t>
            </w:r>
            <w:proofErr w:type="spellEnd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E.U16.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cstheme="minorHAnsi"/>
                <w:lang w:val="en-US"/>
              </w:rPr>
            </w:pPr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 xml:space="preserve">plan diagnostic, therapeutic and preventive procedures </w:t>
            </w: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in the most common vascular diseases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oral</w:t>
            </w:r>
            <w:proofErr w:type="spellEnd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</w:rPr>
              <w:t>answer</w:t>
            </w:r>
            <w:proofErr w:type="spellEnd"/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E.U29.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Pr="00397337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perform basic medical procedures and treatments including:</w:t>
            </w:r>
          </w:p>
          <w:p w:rsidR="00A24542" w:rsidRDefault="002A1044">
            <w:pPr>
              <w:pStyle w:val="Bezodstpw"/>
              <w:rPr>
                <w:rFonts w:cstheme="minorHAnsi"/>
                <w:lang w:val="en-US"/>
              </w:rPr>
            </w:pPr>
            <w:r w:rsidRPr="00397337">
              <w:rPr>
                <w:rFonts w:ascii="Calibri Light" w:hAnsi="Calibri Light" w:cstheme="minorHAnsi"/>
                <w:sz w:val="20"/>
                <w:szCs w:val="20"/>
                <w:lang w:val="en-US"/>
              </w:rPr>
              <w:t>- heart rate measurement, non-invasive blood pressure measurement, a</w:t>
            </w:r>
            <w:r>
              <w:rPr>
                <w:rFonts w:ascii="Calibri Light" w:hAnsi="Calibri Light" w:cstheme="minorHAnsi"/>
                <w:sz w:val="20"/>
                <w:szCs w:val="20"/>
                <w:lang w:val="en-US"/>
              </w:rPr>
              <w:t>nkle-brachial index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pStyle w:val="Bezodstpw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E.U35.</w:t>
            </w: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lang w:val="en-US"/>
              </w:rPr>
            </w:pPr>
            <w:r w:rsidRPr="00397337">
              <w:rPr>
                <w:rFonts w:ascii="Calibri Light" w:hAnsi="Calibri Light"/>
                <w:sz w:val="20"/>
                <w:szCs w:val="20"/>
                <w:lang w:val="en-US"/>
              </w:rPr>
              <w:t>assess pressure sores/ulcers and apply appropriate dressings;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jc w:val="center"/>
              <w:rPr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5" w:hanging="5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The student establishes and maintains deep and respectful contact with the patient, and shows understanding for worldview and cultural differences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5" w:hanging="5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The student respects medical confidentiality and patient's rights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napToGrid w:val="0"/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2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5" w:hanging="5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The student takes actions towards the patient based on ethical principles, with the awareness of social conditions and limitations resulting from the disease</w:t>
            </w:r>
          </w:p>
        </w:tc>
        <w:tc>
          <w:tcPr>
            <w:tcW w:w="1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student observation during the patient's examination</w:t>
            </w:r>
          </w:p>
        </w:tc>
        <w:tc>
          <w:tcPr>
            <w:tcW w:w="1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CC</w:t>
            </w:r>
          </w:p>
        </w:tc>
      </w:tr>
      <w:tr w:rsidR="00A24542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points):</w:t>
            </w: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Student Workload</w:t>
            </w: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1. Number of hours of direct contact: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A24542" w:rsidRPr="00397337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Number of hours of distance learning: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3. Number of hours of student's own work: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4. Number of hours of directed self-study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35</w:t>
            </w:r>
          </w:p>
        </w:tc>
      </w:tr>
      <w:tr w:rsidR="00A24542" w:rsidTr="00397337">
        <w:tc>
          <w:tcPr>
            <w:tcW w:w="68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ECTS points for course</w:t>
            </w:r>
          </w:p>
        </w:tc>
        <w:tc>
          <w:tcPr>
            <w:tcW w:w="3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bCs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8</w:t>
            </w: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b/>
                <w:bCs/>
                <w:lang w:val="en-US"/>
              </w:rPr>
              <w:t>Content of classes:</w:t>
            </w:r>
            <w:r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A24542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397337">
            <w:pPr>
              <w:spacing w:after="0" w:line="240" w:lineRule="auto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 xml:space="preserve">Clinical </w:t>
            </w:r>
            <w:r w:rsidR="002A1044">
              <w:rPr>
                <w:rFonts w:ascii="Calibri Light" w:hAnsi="Calibri Light" w:cs="Times"/>
                <w:b/>
                <w:lang w:val="en-US"/>
              </w:rPr>
              <w:t>Classes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Winter semester: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>1.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Chronic, acute and critical lower limb ischemia: etiology, clinical picture, diagnosis and treatment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Extracranial carotid and vertebral artery stenosis: etiology, clinical picture, diagnosis and treatment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>Secondary arterial hypertension due to renal artery stenosis. Renal artery angioplasty: indications and contraindications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Diabetic foot syndrome Principles of treatment of chronic wounds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>2.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Chronic venous insufficiency of the lower extremities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Superficial thrombophlebitis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Venous thromboembolism </w:t>
            </w:r>
          </w:p>
          <w:p w:rsidR="00A24542" w:rsidRDefault="002A1044">
            <w:pPr>
              <w:pStyle w:val="Tekstpodstawowy"/>
              <w:ind w:left="113" w:firstLine="0"/>
            </w:pPr>
            <w:r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  <w:t xml:space="preserve">Thrombophilia: definition, diagnosis and treatment 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General principles of anticoagulant therapy</w:t>
            </w:r>
          </w:p>
          <w:p w:rsidR="00A24542" w:rsidRDefault="00A24542">
            <w:pPr>
              <w:pStyle w:val="Tekstpodstawowy"/>
              <w:ind w:left="113" w:firstLine="0"/>
              <w:rPr>
                <w:rStyle w:val="tlid-translation"/>
                <w:rFonts w:ascii="Calibri Light" w:hAnsi="Calibri Light"/>
                <w:color w:val="000000"/>
                <w:sz w:val="20"/>
                <w:szCs w:val="20"/>
              </w:rPr>
            </w:pP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Style w:val="tlid-translation"/>
                <w:rFonts w:ascii="Calibri Light" w:hAnsi="Calibri Light"/>
                <w:b/>
                <w:bCs/>
                <w:color w:val="000000"/>
                <w:sz w:val="20"/>
                <w:szCs w:val="20"/>
              </w:rPr>
              <w:t>Summer semester: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1.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Life-threatening conditions in the course of aortic syndromes: 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aortic dissection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aortic aneurysm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Congenital vascular malformations: etiology, clinical picture, diagnosis and treatment.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Vasculitis. Etiology, clinical picture, diagnosis and treatment of selected diseases: 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Takayasu's arteritis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Giant -cell arteritis</w:t>
            </w:r>
          </w:p>
          <w:p w:rsidR="00F316A4" w:rsidRDefault="00F316A4" w:rsidP="00F316A4">
            <w:pPr>
              <w:pStyle w:val="Tekstpodstawowy"/>
              <w:ind w:left="113" w:firstLine="0"/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T</w:t>
            </w:r>
            <w:hyperlink r:id="rId7">
              <w:r>
                <w:rPr>
                  <w:rStyle w:val="czeinternetowe"/>
                  <w:rFonts w:ascii="Calibri Light" w:hAnsi="Calibri Light"/>
                  <w:color w:val="000000"/>
                  <w:sz w:val="20"/>
                  <w:szCs w:val="20"/>
                  <w:u w:val="none"/>
                </w:rPr>
                <w:t>hromboangiitis</w:t>
              </w:r>
              <w:proofErr w:type="spellEnd"/>
              <w:r>
                <w:rPr>
                  <w:rStyle w:val="czeinternetowe"/>
                  <w:rFonts w:ascii="Calibri Light" w:hAnsi="Calibri Light"/>
                  <w:color w:val="000000"/>
                  <w:sz w:val="20"/>
                  <w:szCs w:val="20"/>
                  <w:u w:val="none"/>
                </w:rPr>
                <w:t xml:space="preserve"> obliterans </w:t>
              </w:r>
            </w:hyperlink>
            <w:r>
              <w:rPr>
                <w:rFonts w:ascii="Calibri Light" w:hAnsi="Calibri Light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Buerger’s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disease)</w:t>
            </w:r>
            <w:bookmarkStart w:id="0" w:name="_GoBack"/>
            <w:bookmarkEnd w:id="0"/>
          </w:p>
          <w:p w:rsidR="00A24542" w:rsidRDefault="002A1044" w:rsidP="00C81F17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2.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Subclavian steal syndrome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Thoracic outlet syndrome: pathogenesis, differential diagnosis, treatment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lastRenderedPageBreak/>
              <w:t>Other vascular compression syndromes: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May-</w:t>
            </w:r>
            <w:proofErr w:type="spellStart"/>
            <w:r>
              <w:rPr>
                <w:rFonts w:ascii="Calibri Light" w:hAnsi="Calibri Light"/>
                <w:color w:val="000000"/>
                <w:sz w:val="20"/>
                <w:szCs w:val="20"/>
              </w:rPr>
              <w:t>Thurner</w:t>
            </w:r>
            <w:proofErr w:type="spellEnd"/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syndrome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popliteal artery entrapment syndrome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- nutcracker syndrome</w:t>
            </w:r>
          </w:p>
          <w:p w:rsidR="00F316A4" w:rsidRDefault="00F316A4" w:rsidP="00F316A4">
            <w:pPr>
              <w:pStyle w:val="Tekstpodstawowy"/>
              <w:ind w:left="113" w:firstLine="0"/>
              <w:rPr>
                <w:rFonts w:ascii="Calibri Light" w:hAnsi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 xml:space="preserve">Completion of the exercises 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Microcirculation disorders. Raynaud's phenomenon</w:t>
            </w:r>
          </w:p>
          <w:p w:rsidR="00C81F17" w:rsidRDefault="00C81F17" w:rsidP="00C81F17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Superior vena cava syndrome </w:t>
            </w:r>
          </w:p>
          <w:p w:rsidR="00A24542" w:rsidRDefault="002A1044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3.</w:t>
            </w:r>
          </w:p>
          <w:p w:rsidR="00C81F17" w:rsidRDefault="00C81F17" w:rsidP="00C81F17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Diseases of the lymphatic system </w:t>
            </w:r>
          </w:p>
          <w:p w:rsidR="00C81F17" w:rsidRDefault="00C81F17" w:rsidP="00C81F17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Principles of compression therapy </w:t>
            </w:r>
          </w:p>
          <w:p w:rsidR="00A24542" w:rsidRDefault="00A24542">
            <w:pPr>
              <w:pStyle w:val="Tekstpodstawowy"/>
              <w:ind w:left="113" w:firstLine="0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  <w:lang w:val="en-US"/>
              </w:rPr>
              <w:lastRenderedPageBreak/>
              <w:t xml:space="preserve">Basic literature 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>(list according to importance):</w:t>
            </w:r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>1.“Harrison’s Principles of Internal Medicine”, Publisher: McGraw-Hill Medical; 20th Edition.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br/>
              <w:t>2. Gerd Herold ,,Internal Medicine” Publisher: lulu. com; First English Edition 2018.</w:t>
            </w: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br/>
              <w:t>3. Macleod’s Clinical Examination. Graham Douglas, Fiona Nicol, Colin Robertson. Edition 14th, 2018.</w:t>
            </w:r>
          </w:p>
          <w:p w:rsidR="00A24542" w:rsidRDefault="00A24542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</w:p>
          <w:p w:rsidR="00A24542" w:rsidRDefault="002A1044">
            <w:pPr>
              <w:pStyle w:val="Bezodstpw"/>
              <w:rPr>
                <w:rFonts w:ascii="Calibri Light" w:hAnsi="Calibri Light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b/>
                <w:sz w:val="20"/>
                <w:szCs w:val="20"/>
                <w:lang w:val="en-US"/>
              </w:rPr>
              <w:t>Additional literature and other materials:</w:t>
            </w:r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 xml:space="preserve">1.2017 ESC Guidelines on the Diagnosis and Treatment of Peripheral Arterial Diseases, in collaboration with the European Society for Vascular Surgery (ESVS </w:t>
            </w:r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sz w:val="20"/>
                <w:szCs w:val="20"/>
                <w:u w:val="single"/>
                <w:lang w:val="en-US"/>
              </w:rPr>
              <w:t>https://academic.oup.com/eurheartj/article/39/9/763/4095038</w:t>
            </w:r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>2.  2014 ESC Guidelines of the diagnosis and treatment of aortic diseases</w:t>
            </w:r>
          </w:p>
          <w:p w:rsidR="00A24542" w:rsidRPr="00397337" w:rsidRDefault="000E57C7">
            <w:pPr>
              <w:pStyle w:val="Bezodstpw"/>
              <w:rPr>
                <w:lang w:val="en-US"/>
              </w:rPr>
            </w:pPr>
            <w:hyperlink r:id="rId8">
              <w:r w:rsidR="002A1044">
                <w:rPr>
                  <w:rStyle w:val="czeinternetowe"/>
                  <w:rFonts w:ascii="Calibri Light" w:hAnsi="Calibri Light" w:cs="Calibri"/>
                  <w:bCs/>
                  <w:color w:val="000000"/>
                  <w:sz w:val="20"/>
                  <w:szCs w:val="20"/>
                  <w:lang w:val="en-US"/>
                </w:rPr>
                <w:t>https://www.ncbi.nlm.nih.gov/pmc/articles/PMC5479414/</w:t>
              </w:r>
            </w:hyperlink>
          </w:p>
          <w:p w:rsidR="00A24542" w:rsidRDefault="002A1044">
            <w:pPr>
              <w:pStyle w:val="Bezodstpw"/>
              <w:rPr>
                <w:rFonts w:ascii="Calibri Light" w:hAnsi="Calibri Light" w:cs="Calibri"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"/>
                <w:sz w:val="20"/>
                <w:szCs w:val="20"/>
                <w:lang w:val="en-US"/>
              </w:rPr>
              <w:t>3. Venous thromboembolic diseases: the management of venous thromboembolic diseases and the role of thrombophilia testing</w:t>
            </w:r>
          </w:p>
          <w:p w:rsidR="00A24542" w:rsidRPr="00397337" w:rsidRDefault="000E57C7">
            <w:pPr>
              <w:pStyle w:val="Bezodstpw"/>
              <w:rPr>
                <w:lang w:val="en-US"/>
              </w:rPr>
            </w:pPr>
            <w:hyperlink r:id="rId9">
              <w:r w:rsidR="002A1044">
                <w:rPr>
                  <w:rStyle w:val="czeinternetowe"/>
                  <w:rFonts w:ascii="Calibri Light" w:hAnsi="Calibri Light" w:cs="Calibri"/>
                  <w:bCs/>
                  <w:color w:val="000000"/>
                  <w:sz w:val="20"/>
                  <w:szCs w:val="20"/>
                  <w:lang w:val="en-US"/>
                </w:rPr>
                <w:t>http://www.ebm-guidelines.com/ebmg/ltk.free?p_artikkeli=ebm00108</w:t>
              </w:r>
            </w:hyperlink>
          </w:p>
          <w:p w:rsidR="00A24542" w:rsidRDefault="00A24542">
            <w:pPr>
              <w:spacing w:after="0" w:line="240" w:lineRule="auto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Preliminary conditions:</w:t>
            </w:r>
            <w:r>
              <w:rPr>
                <w:rFonts w:ascii="Calibri Light" w:hAnsi="Calibri Light" w:cs="Times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>minimum requirements to be met by the student before starting the course</w:t>
            </w:r>
            <w:r>
              <w:rPr>
                <w:rFonts w:ascii="Calibri Light" w:hAnsi="Calibri Light" w:cs="Times"/>
                <w:bCs/>
                <w:sz w:val="20"/>
                <w:szCs w:val="20"/>
                <w:lang w:val="en-US"/>
              </w:rPr>
              <w:t>)</w:t>
            </w:r>
          </w:p>
          <w:p w:rsidR="00A24542" w:rsidRDefault="00A2454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A24542" w:rsidRDefault="002A1044">
            <w:pPr>
              <w:spacing w:after="0" w:line="240" w:lineRule="auto"/>
              <w:rPr>
                <w:lang w:val="en-US"/>
              </w:rPr>
            </w:pPr>
            <w:r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 xml:space="preserve">The student should know the basics of anatomy and physiology of the vascular system and know the basics of internal </w:t>
            </w:r>
            <w:proofErr w:type="spellStart"/>
            <w:r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>propedeutics</w:t>
            </w:r>
            <w:proofErr w:type="spellEnd"/>
            <w:r>
              <w:rPr>
                <w:rStyle w:val="tlid-translation"/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and the material in angiology from the previous years of the study.</w:t>
            </w: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course:</w:t>
            </w:r>
            <w:r>
              <w:rPr>
                <w:rFonts w:ascii="Calibri Light" w:hAnsi="Calibri Light"/>
                <w:spacing w:val="-3"/>
                <w:sz w:val="20"/>
                <w:szCs w:val="20"/>
                <w:lang w:val="en-US"/>
              </w:rPr>
              <w:t>(specify the form and conditions of receiving credit for classes included in the course</w:t>
            </w:r>
            <w:r>
              <w:rPr>
                <w:rFonts w:ascii="Calibri Light" w:hAnsi="Calibri Light"/>
                <w:spacing w:val="-5"/>
                <w:sz w:val="20"/>
                <w:szCs w:val="20"/>
                <w:lang w:val="en-US"/>
              </w:rPr>
              <w:t>,</w:t>
            </w:r>
            <w:r>
              <w:rPr>
                <w:rFonts w:ascii="Calibri Light" w:hAnsi="Calibri Light"/>
                <w:spacing w:val="-3"/>
                <w:sz w:val="20"/>
                <w:szCs w:val="20"/>
                <w:lang w:val="en-US"/>
              </w:rPr>
              <w:t xml:space="preserve"> admission terms to final theoretical or practical examination</w:t>
            </w:r>
            <w:r>
              <w:rPr>
                <w:rFonts w:ascii="Calibri Light" w:hAnsi="Calibri Light"/>
                <w:spacing w:val="-4"/>
                <w:sz w:val="20"/>
                <w:szCs w:val="20"/>
                <w:lang w:val="en-US"/>
              </w:rPr>
              <w:t>, its form and requirements to be met by the student to pass it and criteria for specific grades</w:t>
            </w:r>
            <w:r>
              <w:rPr>
                <w:rFonts w:ascii="Calibri Light" w:hAnsi="Calibri Light"/>
                <w:iCs/>
                <w:sz w:val="20"/>
                <w:szCs w:val="20"/>
                <w:lang w:val="en-US"/>
              </w:rPr>
              <w:t>)</w:t>
            </w:r>
          </w:p>
          <w:p w:rsidR="00A24542" w:rsidRPr="00397337" w:rsidRDefault="002A104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 xml:space="preserve">Attention! Attendance </w:t>
            </w:r>
            <w:proofErr w:type="spellStart"/>
            <w:r>
              <w:rPr>
                <w:rFonts w:ascii="Calibri Light" w:hAnsi="Calibri Light"/>
                <w:iCs/>
                <w:lang w:val="en-US"/>
              </w:rPr>
              <w:t>can not</w:t>
            </w:r>
            <w:proofErr w:type="spellEnd"/>
            <w:r>
              <w:rPr>
                <w:rFonts w:ascii="Calibri Light" w:hAnsi="Calibri Light"/>
                <w:iCs/>
                <w:lang w:val="en-US"/>
              </w:rPr>
              <w:t xml:space="preserve"> be a condition for passing the course</w:t>
            </w:r>
          </w:p>
          <w:p w:rsidR="00A24542" w:rsidRDefault="00A24542">
            <w:pPr>
              <w:spacing w:after="0" w:line="240" w:lineRule="auto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A24542" w:rsidRPr="00397337" w:rsidRDefault="002A1044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 xml:space="preserve">Full participation in the exercises (absences in accordance with the study regulations), oral response as well as the subjective and physical examination of the </w:t>
            </w:r>
            <w:proofErr w:type="spellStart"/>
            <w:r>
              <w:rPr>
                <w:rFonts w:ascii="Calibri Light" w:hAnsi="Calibri Light"/>
                <w:iCs/>
                <w:lang w:val="en-US"/>
              </w:rPr>
              <w:t>angiological</w:t>
            </w:r>
            <w:proofErr w:type="spellEnd"/>
            <w:r>
              <w:rPr>
                <w:rFonts w:ascii="Calibri Light" w:hAnsi="Calibri Light"/>
                <w:iCs/>
                <w:lang w:val="en-US"/>
              </w:rPr>
              <w:t xml:space="preserve"> patient for the assessment. </w:t>
            </w:r>
          </w:p>
        </w:tc>
      </w:tr>
      <w:tr w:rsidR="00A24542" w:rsidRPr="00397337" w:rsidTr="00397337"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A24542" w:rsidRPr="00397337" w:rsidTr="00397337"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Grade: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Criteria for courses ending with a grade</w:t>
            </w:r>
            <w:r>
              <w:rPr>
                <w:rStyle w:val="Zakotwiczenieprzypisudolnego"/>
                <w:rFonts w:ascii="Calibri Light" w:hAnsi="Calibri Light"/>
                <w:b/>
                <w:lang w:val="en-US"/>
              </w:rPr>
              <w:footnoteReference w:id="3"/>
            </w:r>
          </w:p>
        </w:tc>
      </w:tr>
      <w:tr w:rsidR="00A24542" w:rsidRPr="00397337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Very Good (5.0)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Very good knowledge of issues related to etiopathogenesis, symptomatology, treatment and prevention of vascular diseases is assessed very well, the student interprets medical tests, makes a diagnosis, conducts differential diagnosis, and proposes very good treatment.</w:t>
            </w:r>
          </w:p>
        </w:tc>
      </w:tr>
      <w:tr w:rsidR="00A24542" w:rsidRPr="00397337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Good Above (4.5)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Skills and knowledge as above, slight deficiencies in subjects of minor clinical importance.</w:t>
            </w:r>
          </w:p>
        </w:tc>
      </w:tr>
      <w:tr w:rsidR="00A24542" w:rsidRPr="00397337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Good (4.0)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 xml:space="preserve">Good knowledge of issues related to etiopathogenesis, symptomatology, treatment and prevention of vascular </w:t>
            </w:r>
            <w:proofErr w:type="spellStart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diseases.The</w:t>
            </w:r>
            <w:proofErr w:type="spellEnd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 xml:space="preserve"> student interprets medical examinations, makes a diagnosis, performs a differential diagnosis, and proposes a good treatment.</w:t>
            </w:r>
          </w:p>
        </w:tc>
      </w:tr>
      <w:tr w:rsidR="00A24542" w:rsidRPr="00397337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Satisfactory Plus (3.5)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 xml:space="preserve">Presentation of knowledge at a basic level, with the correct interpretation of </w:t>
            </w:r>
            <w:proofErr w:type="spellStart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phenomena.Quite</w:t>
            </w:r>
            <w:proofErr w:type="spellEnd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 xml:space="preserve"> good knowledge of issues related to etiopathogenesis, symptomatology, treatment and prevention of the vascular </w:t>
            </w:r>
            <w:proofErr w:type="spellStart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system.The</w:t>
            </w:r>
            <w:proofErr w:type="spellEnd"/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 xml:space="preserve"> student interprets medical tests, makes a diagnosis, performs differential diagnosis, and proposes basic treatment.</w:t>
            </w:r>
          </w:p>
        </w:tc>
      </w:tr>
      <w:tr w:rsidR="00A24542" w:rsidRPr="00397337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Satisfactory (3.0)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Pr="00397337" w:rsidRDefault="002A1044">
            <w:pPr>
              <w:spacing w:line="240" w:lineRule="auto"/>
              <w:rPr>
                <w:lang w:val="en-US"/>
              </w:rPr>
            </w:pPr>
            <w:r w:rsidRPr="00397337">
              <w:rPr>
                <w:rStyle w:val="jlqj4b"/>
                <w:rFonts w:ascii="Calibri Light" w:hAnsi="Calibri Light"/>
                <w:sz w:val="20"/>
                <w:szCs w:val="20"/>
                <w:lang w:val="en-US"/>
              </w:rPr>
              <w:t>Sufficient knowledge of issues related to etiopathogenesis, symptomatology, treatment and prevention of the vascular system, without making mistakes of clinical significance. The student interprets basic medical tests, makes a diagnosis, performs differential diagnosis, and proposes sufficient treatment.</w:t>
            </w:r>
          </w:p>
        </w:tc>
      </w:tr>
      <w:tr w:rsidR="00A24542" w:rsidRPr="00397337" w:rsidTr="00397337">
        <w:trPr>
          <w:trHeight w:val="309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Criteria for courses ending with a credit³</w:t>
            </w:r>
          </w:p>
        </w:tc>
      </w:tr>
      <w:tr w:rsidR="00A24542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Credit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309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line="240" w:lineRule="auto"/>
              <w:rPr>
                <w:szCs w:val="24"/>
                <w:lang w:val="en-AU"/>
              </w:rPr>
            </w:pP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24542" w:rsidTr="00397337">
        <w:trPr>
          <w:trHeight w:val="309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Grade: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Criteria for exam³</w:t>
            </w:r>
          </w:p>
        </w:tc>
      </w:tr>
      <w:tr w:rsidR="00A24542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Very Good (5.0)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Good Above (4.5)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28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Good (4.0)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268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Satisfactory Plus (3.5)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272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Satisfactory (3.0)</w:t>
            </w: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309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  <w:p w:rsidR="00A24542" w:rsidRDefault="00A2454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24542" w:rsidRPr="00397337" w:rsidTr="00397337">
        <w:trPr>
          <w:trHeight w:val="284"/>
        </w:trPr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Department in charge of the course:</w:t>
            </w:r>
          </w:p>
        </w:tc>
        <w:tc>
          <w:tcPr>
            <w:tcW w:w="69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Pr="00397337" w:rsidRDefault="000E57C7">
            <w:pPr>
              <w:shd w:val="clear" w:color="auto" w:fill="FFFFFF"/>
              <w:spacing w:after="280" w:line="315" w:lineRule="atLeast"/>
              <w:rPr>
                <w:lang w:val="en-US"/>
              </w:rPr>
            </w:pPr>
            <w:hyperlink r:id="rId10">
              <w:r w:rsidR="002A1044">
                <w:rPr>
                  <w:rStyle w:val="czeinternetowe"/>
                  <w:rFonts w:ascii="Calibri Light" w:hAnsi="Calibri Light" w:cs="Trebuchet MS"/>
                  <w:color w:val="000000"/>
                  <w:sz w:val="20"/>
                  <w:szCs w:val="20"/>
                  <w:u w:val="none"/>
                  <w:lang w:val="en-US"/>
                </w:rPr>
                <w:t>Department of Angiology, Hypertension and Diabetology</w:t>
              </w:r>
            </w:hyperlink>
          </w:p>
          <w:p w:rsidR="00A24542" w:rsidRDefault="00A24542">
            <w:pPr>
              <w:snapToGrid w:val="0"/>
              <w:spacing w:after="0" w:line="240" w:lineRule="auto"/>
              <w:rPr>
                <w:rFonts w:ascii="Calibri Light" w:hAnsi="Calibri Light"/>
                <w:b/>
                <w:bCs/>
                <w:sz w:val="20"/>
                <w:szCs w:val="20"/>
                <w:lang w:val="en-US"/>
              </w:rPr>
            </w:pPr>
          </w:p>
        </w:tc>
      </w:tr>
      <w:tr w:rsidR="00A24542" w:rsidTr="00397337">
        <w:trPr>
          <w:trHeight w:val="284"/>
        </w:trPr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Department address:</w:t>
            </w:r>
          </w:p>
        </w:tc>
        <w:tc>
          <w:tcPr>
            <w:tcW w:w="69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ul. Borowska 213, Wrocław  </w:t>
            </w:r>
          </w:p>
          <w:p w:rsidR="00A24542" w:rsidRDefault="00A24542">
            <w:pPr>
              <w:snapToGrid w:val="0"/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A24542" w:rsidTr="00397337">
        <w:trPr>
          <w:trHeight w:val="284"/>
        </w:trPr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Telephone:</w:t>
            </w:r>
          </w:p>
        </w:tc>
        <w:tc>
          <w:tcPr>
            <w:tcW w:w="69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napToGrid w:val="0"/>
              <w:spacing w:after="0" w:line="240" w:lineRule="auto"/>
            </w:pPr>
            <w:r>
              <w:rPr>
                <w:rFonts w:ascii="Calibri Light" w:hAnsi="Calibri Light"/>
                <w:sz w:val="20"/>
                <w:szCs w:val="20"/>
                <w:lang w:val="de-DE"/>
              </w:rPr>
              <w:t>71 733 22 00</w:t>
            </w:r>
          </w:p>
        </w:tc>
      </w:tr>
      <w:tr w:rsidR="00A24542" w:rsidRPr="00397337" w:rsidTr="00397337">
        <w:trPr>
          <w:trHeight w:val="284"/>
        </w:trPr>
        <w:tc>
          <w:tcPr>
            <w:tcW w:w="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E-Mail:</w:t>
            </w:r>
          </w:p>
        </w:tc>
        <w:tc>
          <w:tcPr>
            <w:tcW w:w="695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Pr="00397337" w:rsidRDefault="000E57C7">
            <w:pPr>
              <w:snapToGrid w:val="0"/>
              <w:spacing w:after="0" w:line="240" w:lineRule="auto"/>
              <w:rPr>
                <w:lang w:val="en-US"/>
              </w:rPr>
            </w:pPr>
            <w:hyperlink r:id="rId11">
              <w:r w:rsidR="002A1044">
                <w:rPr>
                  <w:rStyle w:val="czeinternetowe"/>
                  <w:rFonts w:ascii="Calibri Light" w:hAnsi="Calibri Light"/>
                  <w:bCs/>
                  <w:color w:val="000000"/>
                  <w:sz w:val="20"/>
                  <w:szCs w:val="20"/>
                  <w:u w:val="none"/>
                  <w:lang w:val="en-US"/>
                </w:rPr>
                <w:t>ang.nt.diab@umed.wroc.pl</w:t>
              </w:r>
            </w:hyperlink>
            <w:r w:rsidR="002A1044">
              <w:rPr>
                <w:rFonts w:ascii="Calibri Light" w:hAnsi="Calibri Light"/>
                <w:bCs/>
                <w:color w:val="000000"/>
                <w:sz w:val="20"/>
                <w:szCs w:val="20"/>
                <w:lang w:val="en-US"/>
              </w:rPr>
              <w:t>, andrzej.szuba@umed.wroc.pl</w:t>
            </w:r>
          </w:p>
        </w:tc>
      </w:tr>
      <w:tr w:rsidR="00A24542" w:rsidRPr="00397337" w:rsidTr="00397337">
        <w:trPr>
          <w:trHeight w:val="214"/>
        </w:trPr>
        <w:tc>
          <w:tcPr>
            <w:tcW w:w="2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75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A24542">
            <w:pPr>
              <w:spacing w:after="0" w:line="240" w:lineRule="auto"/>
              <w:rPr>
                <w:lang w:val="en-US"/>
              </w:rPr>
            </w:pPr>
          </w:p>
          <w:p w:rsidR="00A24542" w:rsidRDefault="00A24542">
            <w:pPr>
              <w:spacing w:after="0" w:line="240" w:lineRule="auto"/>
              <w:rPr>
                <w:lang w:val="en-US"/>
              </w:rPr>
            </w:pPr>
          </w:p>
        </w:tc>
      </w:tr>
      <w:tr w:rsidR="00A24542" w:rsidTr="00397337">
        <w:trPr>
          <w:trHeight w:val="284"/>
        </w:trPr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Person in charge for the course:</w:t>
            </w:r>
          </w:p>
        </w:tc>
        <w:tc>
          <w:tcPr>
            <w:tcW w:w="7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hd w:val="clear" w:color="auto" w:fill="F2F2F2"/>
              <w:snapToGrid w:val="0"/>
              <w:spacing w:after="0" w:line="240" w:lineRule="auto"/>
              <w:ind w:left="141" w:right="105"/>
            </w:pPr>
            <w:r>
              <w:rPr>
                <w:rFonts w:ascii="Calibri Light" w:eastAsia="Times New Roman" w:hAnsi="Calibri Light" w:cs="Times"/>
                <w:sz w:val="20"/>
                <w:szCs w:val="20"/>
              </w:rPr>
              <w:t xml:space="preserve">prof. dr hab. Andrzej Szuba </w:t>
            </w:r>
          </w:p>
        </w:tc>
      </w:tr>
      <w:tr w:rsidR="00A24542" w:rsidTr="00397337">
        <w:trPr>
          <w:trHeight w:val="284"/>
        </w:trPr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Telephone:</w:t>
            </w:r>
          </w:p>
        </w:tc>
        <w:tc>
          <w:tcPr>
            <w:tcW w:w="7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napToGrid w:val="0"/>
              <w:spacing w:after="0" w:line="240" w:lineRule="auto"/>
            </w:pP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71 733 22 00</w:t>
            </w:r>
          </w:p>
        </w:tc>
      </w:tr>
      <w:tr w:rsidR="00A24542" w:rsidRPr="00397337" w:rsidTr="00397337">
        <w:trPr>
          <w:trHeight w:val="284"/>
        </w:trPr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 w:cs="Calibri Light"/>
                <w:b/>
                <w:lang w:val="en-US"/>
              </w:rPr>
            </w:pPr>
            <w:r>
              <w:rPr>
                <w:rFonts w:ascii="Calibri Light" w:hAnsi="Calibri Light" w:cs="Calibri Light"/>
                <w:b/>
                <w:lang w:val="en-US"/>
              </w:rPr>
              <w:t>E-Mail:</w:t>
            </w:r>
          </w:p>
        </w:tc>
        <w:tc>
          <w:tcPr>
            <w:tcW w:w="722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Pr="00397337" w:rsidRDefault="000E57C7">
            <w:pPr>
              <w:shd w:val="clear" w:color="auto" w:fill="F2F2F2"/>
              <w:snapToGrid w:val="0"/>
              <w:spacing w:after="0" w:line="240" w:lineRule="auto"/>
              <w:ind w:left="141" w:right="105"/>
              <w:rPr>
                <w:lang w:val="en-US"/>
              </w:rPr>
            </w:pPr>
            <w:hyperlink r:id="rId12">
              <w:r w:rsidR="002A1044">
                <w:rPr>
                  <w:rStyle w:val="czeinternetowe"/>
                  <w:rFonts w:ascii="Calibri Light" w:eastAsia="Times New Roman" w:hAnsi="Calibri Light" w:cs="Calibri Light"/>
                  <w:sz w:val="20"/>
                  <w:szCs w:val="20"/>
                  <w:lang w:val="en-US"/>
                </w:rPr>
                <w:t>andrzej.szuba@umed.wroc.pl</w:t>
              </w:r>
            </w:hyperlink>
          </w:p>
        </w:tc>
      </w:tr>
      <w:tr w:rsidR="00A24542" w:rsidRPr="00397337" w:rsidTr="00397337">
        <w:trPr>
          <w:trHeight w:val="425"/>
        </w:trPr>
        <w:tc>
          <w:tcPr>
            <w:tcW w:w="103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List of persons conducting specific classes:</w:t>
            </w:r>
          </w:p>
        </w:tc>
      </w:tr>
      <w:tr w:rsidR="00A24542" w:rsidTr="00397337">
        <w:trPr>
          <w:trHeight w:val="71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Cs/>
                <w:sz w:val="18"/>
                <w:szCs w:val="18"/>
                <w:lang w:val="en-US"/>
              </w:rPr>
              <w:t>Name and surname</w:t>
            </w: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Cs/>
                <w:sz w:val="18"/>
                <w:szCs w:val="18"/>
                <w:lang w:val="en-US"/>
              </w:rPr>
              <w:t>Degree/scientific or professional title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Cs/>
                <w:sz w:val="18"/>
                <w:szCs w:val="18"/>
                <w:lang w:val="en-US"/>
              </w:rPr>
              <w:t>Discipline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Cs/>
                <w:sz w:val="18"/>
                <w:szCs w:val="18"/>
                <w:lang w:val="en-US"/>
              </w:rPr>
              <w:t>Performed profession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42" w:rsidRDefault="002A1044">
            <w:pPr>
              <w:spacing w:after="0" w:line="240" w:lineRule="auto"/>
              <w:jc w:val="center"/>
              <w:rPr>
                <w:rFonts w:ascii="Calibri Light" w:hAnsi="Calibri Light"/>
                <w:sz w:val="18"/>
                <w:szCs w:val="18"/>
                <w:lang w:val="en-US"/>
              </w:rPr>
            </w:pPr>
            <w:r>
              <w:rPr>
                <w:rFonts w:ascii="Calibri Light" w:hAnsi="Calibri Light" w:cs="Times"/>
                <w:bCs/>
                <w:sz w:val="18"/>
                <w:szCs w:val="18"/>
                <w:lang w:val="en-US"/>
              </w:rPr>
              <w:t>Form of classes</w:t>
            </w:r>
          </w:p>
        </w:tc>
      </w:tr>
      <w:tr w:rsidR="00A24542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Andrzej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Szuba</w:t>
            </w:r>
            <w:proofErr w:type="spellEnd"/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MD, PhD, Professor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-4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Internal diseases, angiology,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hypertensiology</w:t>
            </w:r>
            <w:proofErr w:type="spellEnd"/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A24542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Rafał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Małecki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A24542" w:rsidRDefault="00A24542">
            <w:pPr>
              <w:spacing w:after="0" w:line="240" w:lineRule="auto"/>
              <w:ind w:left="-4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MD, PhD, Associate 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Internal diseases, angiology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A24542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Angelika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Chachaj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MD, PhD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Internal diseases,</w:t>
            </w:r>
          </w:p>
          <w:p w:rsidR="00A24542" w:rsidRDefault="002A1044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angiology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42" w:rsidRDefault="002A1044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397337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Maciej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Rabczyński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MD, PhD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Internal diseases, angiology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397337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Marta </w:t>
            </w: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Wasilewska</w:t>
            </w:r>
            <w:proofErr w:type="spellEnd"/>
          </w:p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MD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Internal diseases, angiology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FE3AF7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397337" w:rsidTr="00397337">
        <w:trPr>
          <w:trHeight w:val="68"/>
        </w:trPr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  <w:lang w:val="en-US"/>
              </w:rPr>
              <w:t>Jędrzej</w:t>
            </w:r>
            <w:proofErr w:type="spellEnd"/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Fischer</w:t>
            </w:r>
          </w:p>
        </w:tc>
        <w:tc>
          <w:tcPr>
            <w:tcW w:w="2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2D3A7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MD</w:t>
            </w:r>
          </w:p>
        </w:tc>
        <w:tc>
          <w:tcPr>
            <w:tcW w:w="18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2D3A7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Internal diseases, during specialization in angiology</w:t>
            </w:r>
          </w:p>
        </w:tc>
        <w:tc>
          <w:tcPr>
            <w:tcW w:w="2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2D3A72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Physician, academic teacher</w:t>
            </w: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 w:rsidP="002D3A72">
            <w:pPr>
              <w:spacing w:after="0" w:line="240" w:lineRule="auto"/>
              <w:ind w:left="-40"/>
              <w:rPr>
                <w:rFonts w:ascii="Calibri Light" w:hAnsi="Calibri Light"/>
                <w:sz w:val="20"/>
                <w:szCs w:val="20"/>
                <w:lang w:val="en-US"/>
              </w:rPr>
            </w:pPr>
            <w:r>
              <w:rPr>
                <w:rFonts w:ascii="Calibri Light" w:hAnsi="Calibri Light"/>
                <w:sz w:val="20"/>
                <w:szCs w:val="20"/>
                <w:lang w:val="en-US"/>
              </w:rPr>
              <w:t>clinical classes</w:t>
            </w:r>
          </w:p>
        </w:tc>
      </w:tr>
      <w:tr w:rsidR="00397337" w:rsidTr="00397337"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/>
        </w:tc>
        <w:tc>
          <w:tcPr>
            <w:tcW w:w="9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9469" w:type="dxa"/>
              <w:tblLook w:val="00A0" w:firstRow="1" w:lastRow="0" w:firstColumn="1" w:lastColumn="0" w:noHBand="0" w:noVBand="0"/>
            </w:tblPr>
            <w:tblGrid>
              <w:gridCol w:w="9469"/>
            </w:tblGrid>
            <w:tr w:rsidR="00397337">
              <w:tc>
                <w:tcPr>
                  <w:tcW w:w="9469" w:type="dxa"/>
                  <w:shd w:val="clear" w:color="auto" w:fill="auto"/>
                  <w:vAlign w:val="center"/>
                </w:tcPr>
                <w:tbl>
                  <w:tblPr>
                    <w:tblW w:w="8620" w:type="dxa"/>
                    <w:tblInd w:w="5" w:type="dxa"/>
                    <w:tblLook w:val="00A0" w:firstRow="1" w:lastRow="0" w:firstColumn="1" w:lastColumn="0" w:noHBand="0" w:noVBand="0"/>
                  </w:tblPr>
                  <w:tblGrid>
                    <w:gridCol w:w="4253"/>
                    <w:gridCol w:w="4367"/>
                  </w:tblGrid>
                  <w:tr w:rsidR="00397337">
                    <w:tc>
                      <w:tcPr>
                        <w:tcW w:w="4253" w:type="dxa"/>
                        <w:shd w:val="clear" w:color="auto" w:fill="auto"/>
                        <w:vAlign w:val="center"/>
                      </w:tcPr>
                      <w:p w:rsidR="00397337" w:rsidRDefault="00397337">
                        <w:pPr>
                          <w:spacing w:after="0" w:line="240" w:lineRule="auto"/>
                          <w:jc w:val="both"/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97337" w:rsidRDefault="00397337">
                        <w:pPr>
                          <w:spacing w:after="0" w:line="240" w:lineRule="auto"/>
                          <w:jc w:val="both"/>
                        </w:pPr>
                        <w:r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366" w:type="dxa"/>
                        <w:shd w:val="clear" w:color="auto" w:fill="auto"/>
                        <w:vAlign w:val="center"/>
                      </w:tcPr>
                      <w:p w:rsidR="00397337" w:rsidRDefault="00397337">
                        <w:pPr>
                          <w:spacing w:after="0" w:line="360" w:lineRule="auto"/>
                          <w:jc w:val="right"/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97337" w:rsidRDefault="00397337">
                        <w:pPr>
                          <w:spacing w:after="0" w:line="360" w:lineRule="auto"/>
                          <w:jc w:val="right"/>
                        </w:pPr>
                        <w:r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397337">
                    <w:tc>
                      <w:tcPr>
                        <w:tcW w:w="4253" w:type="dxa"/>
                        <w:shd w:val="clear" w:color="auto" w:fill="auto"/>
                        <w:vAlign w:val="bottom"/>
                      </w:tcPr>
                      <w:p w:rsidR="00397337" w:rsidRDefault="00397337">
                        <w:pPr>
                          <w:spacing w:after="0" w:line="360" w:lineRule="auto"/>
                        </w:pPr>
                        <w:r>
                          <w:rPr>
                            <w:rFonts w:ascii="Calibri Light" w:hAnsi="Calibri Light" w:cs="Times"/>
                            <w:sz w:val="20"/>
                            <w:szCs w:val="20"/>
                            <w:lang w:val="en-US" w:eastAsia="pl-PL"/>
                          </w:rPr>
                          <w:t>29.06.2021</w:t>
                        </w:r>
                      </w:p>
                    </w:tc>
                    <w:tc>
                      <w:tcPr>
                        <w:tcW w:w="4366" w:type="dxa"/>
                        <w:shd w:val="clear" w:color="auto" w:fill="auto"/>
                        <w:vAlign w:val="bottom"/>
                      </w:tcPr>
                      <w:p w:rsidR="00397337" w:rsidRDefault="00397337">
                        <w:pPr>
                          <w:spacing w:after="0" w:line="360" w:lineRule="auto"/>
                          <w:jc w:val="right"/>
                        </w:pPr>
                        <w:r>
                          <w:rPr>
                            <w:rFonts w:ascii="Calibri Light" w:hAnsi="Calibri Light" w:cs="Calibri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Angelika </w:t>
                        </w:r>
                        <w:proofErr w:type="spellStart"/>
                        <w:r>
                          <w:rPr>
                            <w:rFonts w:ascii="Calibri Light" w:hAnsi="Calibri Light" w:cs="Calibri"/>
                            <w:bCs/>
                            <w:sz w:val="20"/>
                            <w:szCs w:val="20"/>
                            <w:lang w:val="en-US" w:eastAsia="pl-PL"/>
                          </w:rPr>
                          <w:t>Chachaj</w:t>
                        </w:r>
                        <w:proofErr w:type="spellEnd"/>
                        <w:r>
                          <w:rPr>
                            <w:rFonts w:ascii="Calibri Light" w:hAnsi="Calibri Light" w:cs="Calibri"/>
                            <w:bCs/>
                            <w:sz w:val="20"/>
                            <w:szCs w:val="20"/>
                            <w:lang w:val="en-US" w:eastAsia="pl-PL"/>
                          </w:rPr>
                          <w:t>, MD, PhD</w:t>
                        </w:r>
                      </w:p>
                    </w:tc>
                  </w:tr>
                  <w:tr w:rsidR="00397337" w:rsidRPr="00397337">
                    <w:tc>
                      <w:tcPr>
                        <w:tcW w:w="8619" w:type="dxa"/>
                        <w:gridSpan w:val="2"/>
                        <w:shd w:val="clear" w:color="auto" w:fill="auto"/>
                        <w:vAlign w:val="center"/>
                      </w:tcPr>
                      <w:p w:rsidR="00397337" w:rsidRDefault="00397337">
                        <w:pPr>
                          <w:spacing w:after="0" w:line="360" w:lineRule="auto"/>
                          <w:jc w:val="right"/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97337" w:rsidRDefault="00397337">
                        <w:pPr>
                          <w:spacing w:after="0" w:line="360" w:lineRule="auto"/>
                          <w:jc w:val="right"/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97337" w:rsidRPr="00397337" w:rsidRDefault="00397337">
                        <w:pPr>
                          <w:spacing w:after="0" w:line="360" w:lineRule="auto"/>
                          <w:jc w:val="right"/>
                          <w:rPr>
                            <w:lang w:val="en-US"/>
                          </w:rPr>
                        </w:pPr>
                        <w:r>
                          <w:rPr>
                            <w:rFonts w:ascii="Calibri Light" w:hAnsi="Calibri Light"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397337">
                    <w:tc>
                      <w:tcPr>
                        <w:tcW w:w="8619" w:type="dxa"/>
                        <w:gridSpan w:val="2"/>
                        <w:shd w:val="clear" w:color="auto" w:fill="auto"/>
                        <w:vAlign w:val="center"/>
                      </w:tcPr>
                      <w:p w:rsidR="00397337" w:rsidRDefault="00397337">
                        <w:pPr>
                          <w:spacing w:after="0" w:line="360" w:lineRule="auto"/>
                          <w:jc w:val="right"/>
                          <w:rPr>
                            <w:rFonts w:ascii="Calibri Light" w:hAnsi="Calibri Light"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397337" w:rsidRDefault="00397337">
                        <w:pPr>
                          <w:spacing w:after="0" w:line="360" w:lineRule="auto"/>
                          <w:jc w:val="right"/>
                        </w:pPr>
                        <w:r>
                          <w:rPr>
                            <w:rFonts w:ascii="Calibri Light" w:hAnsi="Calibri Light"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397337" w:rsidRDefault="00397337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</w:p>
                <w:p w:rsidR="00397337" w:rsidRDefault="00397337">
                  <w:pPr>
                    <w:spacing w:after="0" w:line="240" w:lineRule="auto"/>
                  </w:pPr>
                  <w:r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Signature of Faculty Dean </w:t>
                  </w:r>
                </w:p>
              </w:tc>
            </w:tr>
            <w:tr w:rsidR="00397337">
              <w:tc>
                <w:tcPr>
                  <w:tcW w:w="9469" w:type="dxa"/>
                  <w:shd w:val="clear" w:color="auto" w:fill="auto"/>
                  <w:vAlign w:val="center"/>
                </w:tcPr>
                <w:p w:rsidR="00397337" w:rsidRDefault="00397337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397337" w:rsidRDefault="00397337">
                  <w:pPr>
                    <w:spacing w:after="0" w:line="240" w:lineRule="auto"/>
                  </w:pPr>
                  <w:r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397337">
              <w:tc>
                <w:tcPr>
                  <w:tcW w:w="9469" w:type="dxa"/>
                  <w:shd w:val="clear" w:color="auto" w:fill="auto"/>
                  <w:vAlign w:val="center"/>
                </w:tcPr>
                <w:p w:rsidR="00397337" w:rsidRDefault="00397337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397337" w:rsidRDefault="00397337">
                  <w:pPr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397337" w:rsidRDefault="00397337">
            <w:pPr>
              <w:rPr>
                <w:rFonts w:ascii="Calibri Light" w:hAnsi="Calibri Light"/>
                <w:sz w:val="2"/>
                <w:szCs w:val="2"/>
                <w:lang w:val="en-US"/>
              </w:rPr>
            </w:pPr>
          </w:p>
          <w:p w:rsidR="00397337" w:rsidRDefault="00397337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/>
        </w:tc>
      </w:tr>
      <w:tr w:rsidR="00397337" w:rsidTr="00397337">
        <w:trPr>
          <w:trHeight w:val="70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/>
        </w:tc>
        <w:tc>
          <w:tcPr>
            <w:tcW w:w="9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337" w:rsidRDefault="00397337">
            <w:pPr>
              <w:spacing w:after="0" w:line="24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397337" w:rsidRDefault="00397337">
            <w:pPr>
              <w:spacing w:after="0" w:line="24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337" w:rsidRDefault="00397337"/>
        </w:tc>
      </w:tr>
    </w:tbl>
    <w:p w:rsidR="00A24542" w:rsidRDefault="00A24542">
      <w:pPr>
        <w:spacing w:line="240" w:lineRule="auto"/>
      </w:pPr>
    </w:p>
    <w:sectPr w:rsidR="00A24542" w:rsidSect="00A24542">
      <w:headerReference w:type="default" r:id="rId13"/>
      <w:pgSz w:w="11906" w:h="16838"/>
      <w:pgMar w:top="1417" w:right="1417" w:bottom="1417" w:left="1417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C7" w:rsidRDefault="000E57C7" w:rsidP="00A24542">
      <w:pPr>
        <w:spacing w:after="0" w:line="240" w:lineRule="auto"/>
      </w:pPr>
      <w:r>
        <w:separator/>
      </w:r>
    </w:p>
  </w:endnote>
  <w:endnote w:type="continuationSeparator" w:id="0">
    <w:p w:rsidR="000E57C7" w:rsidRDefault="000E57C7" w:rsidP="00A2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C7" w:rsidRDefault="000E57C7">
      <w:r>
        <w:separator/>
      </w:r>
    </w:p>
  </w:footnote>
  <w:footnote w:type="continuationSeparator" w:id="0">
    <w:p w:rsidR="000E57C7" w:rsidRDefault="000E57C7">
      <w:r>
        <w:continuationSeparator/>
      </w:r>
    </w:p>
  </w:footnote>
  <w:footnote w:id="1">
    <w:p w:rsidR="00A24542" w:rsidRPr="00397337" w:rsidRDefault="002A1044">
      <w:pPr>
        <w:pStyle w:val="Tekstprzypisudolnego1"/>
        <w:rPr>
          <w:lang w:val="en-US"/>
        </w:rPr>
      </w:pPr>
      <w:r>
        <w:rPr>
          <w:rStyle w:val="Znakiprzypiswdolnych"/>
        </w:rPr>
        <w:footnoteRef/>
      </w:r>
      <w:r w:rsidRPr="00397337">
        <w:rPr>
          <w:rStyle w:val="Znakiprzypiswdolnych"/>
          <w:lang w:val="en-US"/>
        </w:rPr>
        <w:tab/>
      </w:r>
      <w:r w:rsidRPr="00397337">
        <w:rPr>
          <w:rStyle w:val="FootnoteCharacters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Education conducted with direct participation of university teachers or other academics</w:t>
      </w:r>
    </w:p>
  </w:footnote>
  <w:footnote w:id="2">
    <w:p w:rsidR="00A24542" w:rsidRPr="00397337" w:rsidRDefault="002A1044">
      <w:pPr>
        <w:pStyle w:val="Tekstprzypisudolnego1"/>
        <w:rPr>
          <w:lang w:val="en-US"/>
        </w:rPr>
      </w:pPr>
      <w:r>
        <w:rPr>
          <w:rStyle w:val="Znakiprzypiswdolnych"/>
        </w:rPr>
        <w:footnoteRef/>
      </w:r>
      <w:r w:rsidRPr="00397337">
        <w:rPr>
          <w:rStyle w:val="Znakiprzypiswdolnych"/>
          <w:lang w:val="en-US"/>
        </w:rPr>
        <w:tab/>
      </w:r>
      <w:r w:rsidRPr="00397337">
        <w:rPr>
          <w:rStyle w:val="FootnoteCharacters"/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>Education with applied methods and techniques for distance learning</w:t>
      </w:r>
    </w:p>
  </w:footnote>
  <w:footnote w:id="3">
    <w:p w:rsidR="00A24542" w:rsidRPr="00397337" w:rsidRDefault="002A1044">
      <w:pPr>
        <w:pStyle w:val="Tekstprzypisudolnego1"/>
        <w:rPr>
          <w:lang w:val="en-US"/>
        </w:rPr>
      </w:pPr>
      <w:r>
        <w:rPr>
          <w:rStyle w:val="Znakiprzypiswdolnych"/>
        </w:rPr>
        <w:footnoteRef/>
      </w:r>
      <w:r w:rsidRPr="00397337">
        <w:rPr>
          <w:rStyle w:val="Znakiprzypiswdolnych"/>
          <w:lang w:val="en-US"/>
        </w:rPr>
        <w:tab/>
      </w:r>
      <w:r w:rsidRPr="00397337">
        <w:rPr>
          <w:rStyle w:val="FootnoteCharacters"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 xml:space="preserve"> The verification must cover all education results, which are realize in all form of classes within the course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42" w:rsidRDefault="002A1044">
    <w:pPr>
      <w:pStyle w:val="Nagwek1"/>
      <w:tabs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lang w:val="en-US"/>
      </w:rPr>
      <w:t>Appendix No.3</w:t>
    </w:r>
  </w:p>
  <w:p w:rsidR="00A24542" w:rsidRDefault="002A1044">
    <w:pPr>
      <w:pStyle w:val="Nagwek1"/>
      <w:tabs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>to Resolution No. 2303</w:t>
    </w:r>
  </w:p>
  <w:p w:rsidR="00A24542" w:rsidRDefault="002A1044">
    <w:pPr>
      <w:pStyle w:val="Nagwek1"/>
      <w:tabs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 xml:space="preserve">of Senate of </w:t>
    </w:r>
    <w:proofErr w:type="spellStart"/>
    <w:r>
      <w:rPr>
        <w:sz w:val="16"/>
        <w:lang w:val="en-US"/>
      </w:rPr>
      <w:t>WroclawMedicalUniversity</w:t>
    </w:r>
    <w:proofErr w:type="spellEnd"/>
  </w:p>
  <w:p w:rsidR="00A24542" w:rsidRDefault="002A1044">
    <w:pPr>
      <w:pStyle w:val="Nagwek1"/>
      <w:tabs>
        <w:tab w:val="left" w:pos="5812"/>
      </w:tabs>
      <w:ind w:left="5664"/>
      <w:rPr>
        <w:sz w:val="16"/>
        <w:lang w:val="en-US"/>
      </w:rPr>
    </w:pPr>
    <w:r>
      <w:rPr>
        <w:sz w:val="16"/>
        <w:lang w:val="en-US"/>
      </w:rPr>
      <w:t>of 28 April 2021</w:t>
    </w:r>
  </w:p>
  <w:p w:rsidR="00A24542" w:rsidRDefault="00A24542">
    <w:pPr>
      <w:pStyle w:val="Nagwek1"/>
      <w:ind w:left="4536"/>
      <w:jc w:val="right"/>
      <w:rPr>
        <w:sz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2"/>
    <w:rsid w:val="000E57C7"/>
    <w:rsid w:val="002A1044"/>
    <w:rsid w:val="003617B4"/>
    <w:rsid w:val="00397337"/>
    <w:rsid w:val="004C382F"/>
    <w:rsid w:val="00A24542"/>
    <w:rsid w:val="00C81F17"/>
    <w:rsid w:val="00DC464A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6E9E3-0E6A-4821-8EFE-DA8B820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42E0C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pl-PL"/>
    </w:rPr>
  </w:style>
  <w:style w:type="paragraph" w:customStyle="1" w:styleId="Nagwek21">
    <w:name w:val="Nagłówek 21"/>
    <w:basedOn w:val="Normalny"/>
    <w:link w:val="Nagwek2Znak"/>
    <w:uiPriority w:val="9"/>
    <w:semiHidden/>
    <w:unhideWhenUsed/>
    <w:qFormat/>
    <w:rsid w:val="00042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link w:val="Nagwek"/>
    <w:uiPriority w:val="99"/>
    <w:qFormat/>
    <w:locked/>
    <w:rsid w:val="00420C0C"/>
    <w:rPr>
      <w:rFonts w:ascii="Calibri" w:hAnsi="Calibri" w:cs="Times New Roman"/>
    </w:rPr>
  </w:style>
  <w:style w:type="character" w:customStyle="1" w:styleId="StopkaZnak">
    <w:name w:val="Stopka Znak"/>
    <w:link w:val="Stopka1"/>
    <w:uiPriority w:val="99"/>
    <w:qFormat/>
    <w:locked/>
    <w:rsid w:val="00420C0C"/>
    <w:rPr>
      <w:rFonts w:ascii="Calibri" w:hAnsi="Calibri" w:cs="Times New Roman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420C0C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qFormat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D43B7E"/>
    <w:rPr>
      <w:lang w:eastAsia="en-US"/>
    </w:rPr>
  </w:style>
  <w:style w:type="character" w:customStyle="1" w:styleId="Zakotwiczenieprzypisudolnego">
    <w:name w:val="Zakotwiczenie przypisu dolnego"/>
    <w:rsid w:val="00A24542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43B7E"/>
    <w:rPr>
      <w:vertAlign w:val="superscript"/>
    </w:rPr>
  </w:style>
  <w:style w:type="character" w:customStyle="1" w:styleId="markedcontent">
    <w:name w:val="markedcontent"/>
    <w:basedOn w:val="Domylnaczcionkaakapitu"/>
    <w:qFormat/>
    <w:rsid w:val="000155B8"/>
  </w:style>
  <w:style w:type="character" w:customStyle="1" w:styleId="tlid-translation">
    <w:name w:val="tlid-translation"/>
    <w:basedOn w:val="Domylnaczcionkaakapitu"/>
    <w:qFormat/>
    <w:rsid w:val="000155B8"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207D7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42E0C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czeinternetowe">
    <w:name w:val="Łącze internetowe"/>
    <w:rsid w:val="00B22F92"/>
    <w:rPr>
      <w:color w:val="0000FF"/>
      <w:u w:val="single"/>
    </w:rPr>
  </w:style>
  <w:style w:type="character" w:customStyle="1" w:styleId="jlqj4b">
    <w:name w:val="jlqj4b"/>
    <w:basedOn w:val="Domylnaczcionkaakapitu"/>
    <w:qFormat/>
    <w:rsid w:val="00F7181C"/>
  </w:style>
  <w:style w:type="character" w:customStyle="1" w:styleId="viiyi">
    <w:name w:val="viiyi"/>
    <w:basedOn w:val="Domylnaczcionkaakapitu"/>
    <w:qFormat/>
    <w:rsid w:val="00042A85"/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042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ListLabel1">
    <w:name w:val="ListLabel 1"/>
    <w:qFormat/>
    <w:rsid w:val="00A24542"/>
    <w:rPr>
      <w:rFonts w:eastAsia="Times New Roman" w:cs="Times New Roman"/>
      <w:b w:val="0"/>
      <w:bCs w:val="0"/>
      <w:i w:val="0"/>
      <w:iCs w:val="0"/>
      <w:w w:val="99"/>
      <w:sz w:val="24"/>
      <w:szCs w:val="24"/>
    </w:rPr>
  </w:style>
  <w:style w:type="character" w:customStyle="1" w:styleId="ListLabel2">
    <w:name w:val="ListLabel 2"/>
    <w:qFormat/>
    <w:rsid w:val="00A24542"/>
    <w:rPr>
      <w:rFonts w:ascii="Calibri Light" w:hAnsi="Calibri Light" w:cs="Calibri"/>
      <w:bCs/>
      <w:color w:val="000000"/>
      <w:sz w:val="20"/>
      <w:szCs w:val="20"/>
      <w:lang w:val="en-US"/>
    </w:rPr>
  </w:style>
  <w:style w:type="character" w:customStyle="1" w:styleId="ListLabel3">
    <w:name w:val="ListLabel 3"/>
    <w:qFormat/>
    <w:rsid w:val="00A24542"/>
    <w:rPr>
      <w:rFonts w:ascii="Calibri Light" w:hAnsi="Calibri Light" w:cs="Trebuchet MS"/>
      <w:color w:val="000000"/>
      <w:sz w:val="20"/>
      <w:szCs w:val="20"/>
      <w:u w:val="none"/>
      <w:lang w:val="en-US"/>
    </w:rPr>
  </w:style>
  <w:style w:type="character" w:customStyle="1" w:styleId="ListLabel4">
    <w:name w:val="ListLabel 4"/>
    <w:qFormat/>
    <w:rsid w:val="00A24542"/>
    <w:rPr>
      <w:rFonts w:ascii="Calibri Light" w:hAnsi="Calibri Light"/>
      <w:bCs/>
      <w:color w:val="000000"/>
      <w:sz w:val="20"/>
      <w:szCs w:val="20"/>
      <w:u w:val="none"/>
      <w:lang w:val="en-US"/>
    </w:rPr>
  </w:style>
  <w:style w:type="character" w:customStyle="1" w:styleId="ListLabel5">
    <w:name w:val="ListLabel 5"/>
    <w:qFormat/>
    <w:rsid w:val="00A24542"/>
    <w:rPr>
      <w:rFonts w:ascii="Calibri Light" w:eastAsia="Times New Roman" w:hAnsi="Calibri Light" w:cs="Calibri Light"/>
      <w:sz w:val="20"/>
      <w:szCs w:val="20"/>
      <w:lang w:val="en-US"/>
    </w:rPr>
  </w:style>
  <w:style w:type="character" w:customStyle="1" w:styleId="Znakiprzypiswdolnych">
    <w:name w:val="Znaki przypisów dolnych"/>
    <w:qFormat/>
    <w:rsid w:val="00A24542"/>
  </w:style>
  <w:style w:type="character" w:customStyle="1" w:styleId="Zakotwiczenieprzypisukocowego">
    <w:name w:val="Zakotwiczenie przypisu końcowego"/>
    <w:rsid w:val="00A24542"/>
    <w:rPr>
      <w:vertAlign w:val="superscript"/>
    </w:rPr>
  </w:style>
  <w:style w:type="character" w:customStyle="1" w:styleId="Znakiprzypiswkocowych">
    <w:name w:val="Znaki przypisów końcowych"/>
    <w:qFormat/>
    <w:rsid w:val="00A24542"/>
  </w:style>
  <w:style w:type="character" w:customStyle="1" w:styleId="ListLabel6">
    <w:name w:val="ListLabel 6"/>
    <w:qFormat/>
    <w:rsid w:val="00A24542"/>
    <w:rPr>
      <w:rFonts w:ascii="Calibri Light" w:hAnsi="Calibri Light"/>
      <w:color w:val="000000"/>
      <w:sz w:val="20"/>
      <w:szCs w:val="20"/>
      <w:u w:val="none"/>
      <w:lang w:val="en-US"/>
    </w:rPr>
  </w:style>
  <w:style w:type="character" w:customStyle="1" w:styleId="ListLabel7">
    <w:name w:val="ListLabel 7"/>
    <w:qFormat/>
    <w:rsid w:val="00A24542"/>
    <w:rPr>
      <w:rFonts w:ascii="Calibri Light" w:hAnsi="Calibri Light" w:cs="Calibri"/>
      <w:bCs/>
      <w:color w:val="000000"/>
      <w:sz w:val="20"/>
      <w:szCs w:val="20"/>
      <w:lang w:val="en-US"/>
    </w:rPr>
  </w:style>
  <w:style w:type="character" w:customStyle="1" w:styleId="ListLabel8">
    <w:name w:val="ListLabel 8"/>
    <w:qFormat/>
    <w:rsid w:val="00A24542"/>
    <w:rPr>
      <w:rFonts w:ascii="Calibri Light" w:hAnsi="Calibri Light" w:cs="Trebuchet MS"/>
      <w:color w:val="000000"/>
      <w:sz w:val="20"/>
      <w:szCs w:val="20"/>
      <w:u w:val="none"/>
      <w:lang w:val="en-US"/>
    </w:rPr>
  </w:style>
  <w:style w:type="character" w:customStyle="1" w:styleId="ListLabel9">
    <w:name w:val="ListLabel 9"/>
    <w:qFormat/>
    <w:rsid w:val="00A24542"/>
    <w:rPr>
      <w:rFonts w:ascii="Calibri Light" w:hAnsi="Calibri Light"/>
      <w:bCs/>
      <w:color w:val="000000"/>
      <w:sz w:val="20"/>
      <w:szCs w:val="20"/>
      <w:u w:val="none"/>
      <w:lang w:val="en-US"/>
    </w:rPr>
  </w:style>
  <w:style w:type="character" w:customStyle="1" w:styleId="ListLabel10">
    <w:name w:val="ListLabel 10"/>
    <w:qFormat/>
    <w:rsid w:val="00A24542"/>
    <w:rPr>
      <w:rFonts w:ascii="Calibri Light" w:eastAsia="Times New Roman" w:hAnsi="Calibri Light" w:cs="Calibri Light"/>
      <w:sz w:val="20"/>
      <w:szCs w:val="20"/>
      <w:lang w:val="en-US"/>
    </w:rPr>
  </w:style>
  <w:style w:type="paragraph" w:styleId="Nagwek">
    <w:name w:val="header"/>
    <w:basedOn w:val="Normalny"/>
    <w:next w:val="Tekstpodstawowy"/>
    <w:link w:val="NagwekZnak"/>
    <w:qFormat/>
    <w:rsid w:val="00A245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207D75"/>
    <w:pPr>
      <w:widowControl w:val="0"/>
      <w:spacing w:after="0" w:line="240" w:lineRule="auto"/>
      <w:ind w:left="998" w:hanging="85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a">
    <w:name w:val="List"/>
    <w:basedOn w:val="Tekstpodstawowy"/>
    <w:rsid w:val="00A24542"/>
    <w:rPr>
      <w:rFonts w:cs="Lucida Sans"/>
    </w:rPr>
  </w:style>
  <w:style w:type="paragraph" w:customStyle="1" w:styleId="Legenda1">
    <w:name w:val="Legenda1"/>
    <w:basedOn w:val="Normalny"/>
    <w:qFormat/>
    <w:rsid w:val="00A245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24542"/>
    <w:pPr>
      <w:suppressLineNumbers/>
    </w:pPr>
    <w:rPr>
      <w:rFonts w:cs="Lucida Sans"/>
    </w:rPr>
  </w:style>
  <w:style w:type="paragraph" w:customStyle="1" w:styleId="Pa3">
    <w:name w:val="Pa3"/>
    <w:basedOn w:val="Normalny"/>
    <w:uiPriority w:val="99"/>
    <w:qFormat/>
    <w:rsid w:val="00420C0C"/>
    <w:pPr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qFormat/>
    <w:rsid w:val="00A24542"/>
    <w:pPr>
      <w:spacing w:after="0" w:line="240" w:lineRule="auto"/>
    </w:pPr>
    <w:rPr>
      <w:rFonts w:ascii="Tahoma" w:eastAsia="Tahoma" w:hAnsi="Tahoma"/>
      <w:color w:val="000000"/>
      <w:sz w:val="16"/>
      <w:lang w:eastAsia="ar-SA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D43B7E"/>
    <w:pPr>
      <w:spacing w:after="0" w:line="240" w:lineRule="auto"/>
    </w:pPr>
    <w:rPr>
      <w:sz w:val="20"/>
      <w:szCs w:val="20"/>
    </w:rPr>
  </w:style>
  <w:style w:type="paragraph" w:styleId="Bezodstpw">
    <w:name w:val="No Spacing"/>
    <w:qFormat/>
    <w:rsid w:val="00A24542"/>
    <w:pPr>
      <w:suppressAutoHyphens/>
    </w:pPr>
    <w:rPr>
      <w:rFonts w:eastAsia="Times New Roman" w:cs="Liberation Serif"/>
      <w:color w:val="000000"/>
      <w:sz w:val="22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730024"/>
    <w:pPr>
      <w:widowControl w:val="0"/>
      <w:spacing w:after="0" w:line="240" w:lineRule="auto"/>
      <w:ind w:left="1423" w:hanging="425"/>
      <w:jc w:val="both"/>
    </w:pPr>
    <w:rPr>
      <w:rFonts w:ascii="Times New Roman" w:eastAsia="Times New Roman" w:hAnsi="Times New Roman"/>
      <w:lang w:val="en-US"/>
    </w:rPr>
  </w:style>
  <w:style w:type="table" w:styleId="Tabela-Siatka">
    <w:name w:val="Table Grid"/>
    <w:basedOn w:val="Standardowy"/>
    <w:uiPriority w:val="99"/>
    <w:rsid w:val="0026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5479414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medicine.medscape.com/article/460027-overview" TargetMode="External"/><Relationship Id="rId12" Type="http://schemas.openxmlformats.org/officeDocument/2006/relationships/hyperlink" Target="mailto:andrzej.szuba@umed.wroc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g.nt.diab@umed.wroc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n.umed.wroc.pl/en-angi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m-guidelines.com/ebmg/ltk.free?p_artikkeli=ebm001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38299-C296-497A-AEBF-F2230D9C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angelika_chachaj</cp:lastModifiedBy>
  <cp:revision>3</cp:revision>
  <cp:lastPrinted>2020-09-11T10:25:00Z</cp:lastPrinted>
  <dcterms:created xsi:type="dcterms:W3CDTF">2022-02-28T22:55:00Z</dcterms:created>
  <dcterms:modified xsi:type="dcterms:W3CDTF">2022-02-28T22:56:00Z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